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C5CCF3">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eastAsia="方正小标宋简体"/>
          <w:color w:val="000000"/>
          <w:sz w:val="32"/>
          <w:szCs w:val="32"/>
        </w:rPr>
        <w:t>清洗剂</w:t>
      </w:r>
      <w:r>
        <w:rPr>
          <w:rFonts w:hint="eastAsia" w:ascii="Times New Roman" w:hAnsi="Times New Roman" w:eastAsia="方正小标宋简体" w:cs="方正仿宋简体"/>
          <w:color w:val="000000"/>
          <w:sz w:val="32"/>
          <w:szCs w:val="32"/>
        </w:rPr>
        <w:t>产品质量监督抽查实施细则</w:t>
      </w:r>
    </w:p>
    <w:p w14:paraId="7D5471A5">
      <w:pPr>
        <w:spacing w:line="240" w:lineRule="auto"/>
        <w:ind w:firstLine="440" w:firstLineChars="200"/>
        <w:rPr>
          <w:rFonts w:ascii="Times New Roman" w:hAnsi="Times New Roman" w:eastAsia="宋体" w:cs="宋体"/>
          <w:sz w:val="22"/>
          <w:szCs w:val="28"/>
        </w:rPr>
      </w:pPr>
    </w:p>
    <w:p w14:paraId="2B98D24F">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20C8F4D9">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5865DBA2">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38612E7D">
      <w:pPr>
        <w:spacing w:line="520" w:lineRule="exact"/>
        <w:ind w:firstLine="440" w:firstLineChars="200"/>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抽样基数满足抽样数量即可，抽取不小于1kg（L）的最小包装2份，1份为检验用样品，1份为备用样品。若每个独立包装少于1kg，则抽取多个独立包装，分成2份，且每份不少于1kg。</w:t>
      </w:r>
    </w:p>
    <w:p w14:paraId="794EC326">
      <w:pPr>
        <w:spacing w:line="240" w:lineRule="auto"/>
        <w:ind w:firstLine="440" w:firstLineChars="200"/>
        <w:rPr>
          <w:rFonts w:hint="eastAsia" w:ascii="Times New Roman" w:hAnsi="Times New Roman" w:eastAsia="宋体" w:cs="宋体"/>
          <w:sz w:val="22"/>
          <w:szCs w:val="28"/>
        </w:rPr>
      </w:pPr>
    </w:p>
    <w:p w14:paraId="55F6D82B">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2 检验依据</w:t>
      </w:r>
    </w:p>
    <w:tbl>
      <w:tblPr>
        <w:tblStyle w:val="4"/>
        <w:tblW w:w="906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984"/>
        <w:gridCol w:w="1495"/>
        <w:gridCol w:w="1856"/>
        <w:gridCol w:w="1980"/>
        <w:gridCol w:w="2029"/>
      </w:tblGrid>
      <w:tr w14:paraId="2E2B9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717" w:type="dxa"/>
            <w:vAlign w:val="center"/>
          </w:tcPr>
          <w:p w14:paraId="04B45454">
            <w:pPr>
              <w:jc w:val="center"/>
              <w:rPr>
                <w:rFonts w:cs="宋体"/>
                <w:sz w:val="21"/>
                <w:szCs w:val="21"/>
              </w:rPr>
            </w:pPr>
            <w:r>
              <w:rPr>
                <w:rFonts w:cs="宋体"/>
                <w:sz w:val="21"/>
                <w:szCs w:val="21"/>
              </w:rPr>
              <w:t>序号</w:t>
            </w:r>
          </w:p>
        </w:tc>
        <w:tc>
          <w:tcPr>
            <w:tcW w:w="2479" w:type="dxa"/>
            <w:gridSpan w:val="2"/>
            <w:vAlign w:val="center"/>
          </w:tcPr>
          <w:p w14:paraId="1513D1D1">
            <w:pPr>
              <w:jc w:val="center"/>
              <w:rPr>
                <w:rFonts w:cs="宋体"/>
                <w:sz w:val="21"/>
                <w:szCs w:val="21"/>
              </w:rPr>
            </w:pPr>
            <w:r>
              <w:rPr>
                <w:rFonts w:cs="宋体"/>
                <w:sz w:val="21"/>
                <w:szCs w:val="21"/>
              </w:rPr>
              <w:t>检验项目</w:t>
            </w:r>
          </w:p>
        </w:tc>
        <w:tc>
          <w:tcPr>
            <w:tcW w:w="1856" w:type="dxa"/>
            <w:vAlign w:val="center"/>
          </w:tcPr>
          <w:p w14:paraId="3464F45A">
            <w:pPr>
              <w:jc w:val="center"/>
              <w:rPr>
                <w:rFonts w:cs="宋体"/>
                <w:sz w:val="21"/>
                <w:szCs w:val="21"/>
              </w:rPr>
            </w:pPr>
            <w:r>
              <w:rPr>
                <w:rFonts w:cs="宋体"/>
                <w:sz w:val="21"/>
                <w:szCs w:val="21"/>
              </w:rPr>
              <w:t>检验依据</w:t>
            </w:r>
          </w:p>
        </w:tc>
        <w:tc>
          <w:tcPr>
            <w:tcW w:w="1980" w:type="dxa"/>
            <w:vAlign w:val="center"/>
          </w:tcPr>
          <w:p w14:paraId="1FFEE7BB">
            <w:pPr>
              <w:jc w:val="center"/>
              <w:rPr>
                <w:rFonts w:cs="宋体"/>
                <w:sz w:val="21"/>
                <w:szCs w:val="21"/>
              </w:rPr>
            </w:pPr>
            <w:r>
              <w:rPr>
                <w:rFonts w:cs="宋体"/>
                <w:sz w:val="21"/>
                <w:szCs w:val="21"/>
              </w:rPr>
              <w:t>检验方法</w:t>
            </w:r>
          </w:p>
        </w:tc>
        <w:tc>
          <w:tcPr>
            <w:tcW w:w="2029" w:type="dxa"/>
          </w:tcPr>
          <w:p w14:paraId="110CABE8">
            <w:pPr>
              <w:jc w:val="center"/>
              <w:rPr>
                <w:rFonts w:cs="宋体"/>
                <w:sz w:val="21"/>
                <w:szCs w:val="21"/>
              </w:rPr>
            </w:pPr>
            <w:r>
              <w:rPr>
                <w:rFonts w:cs="宋体"/>
                <w:sz w:val="21"/>
                <w:szCs w:val="21"/>
              </w:rPr>
              <w:t>备注</w:t>
            </w:r>
          </w:p>
        </w:tc>
      </w:tr>
      <w:tr w14:paraId="584C0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717" w:type="dxa"/>
            <w:vAlign w:val="center"/>
          </w:tcPr>
          <w:p w14:paraId="58FB8561">
            <w:pPr>
              <w:jc w:val="center"/>
              <w:rPr>
                <w:rFonts w:cs="宋体"/>
                <w:sz w:val="21"/>
                <w:szCs w:val="21"/>
              </w:rPr>
            </w:pPr>
            <w:r>
              <w:rPr>
                <w:rFonts w:cs="宋体"/>
                <w:sz w:val="21"/>
                <w:szCs w:val="21"/>
              </w:rPr>
              <w:t>1</w:t>
            </w:r>
          </w:p>
        </w:tc>
        <w:tc>
          <w:tcPr>
            <w:tcW w:w="2479" w:type="dxa"/>
            <w:gridSpan w:val="2"/>
            <w:vAlign w:val="center"/>
          </w:tcPr>
          <w:p w14:paraId="4438CDED">
            <w:pPr>
              <w:jc w:val="center"/>
              <w:rPr>
                <w:rFonts w:cs="宋体"/>
                <w:sz w:val="21"/>
                <w:szCs w:val="21"/>
              </w:rPr>
            </w:pPr>
            <w:r>
              <w:rPr>
                <w:rFonts w:cs="宋体"/>
                <w:sz w:val="21"/>
                <w:szCs w:val="21"/>
              </w:rPr>
              <w:t>VOC含量</w:t>
            </w:r>
          </w:p>
        </w:tc>
        <w:tc>
          <w:tcPr>
            <w:tcW w:w="1856" w:type="dxa"/>
            <w:vAlign w:val="center"/>
          </w:tcPr>
          <w:p w14:paraId="5240E852">
            <w:pPr>
              <w:jc w:val="center"/>
              <w:rPr>
                <w:rFonts w:hint="default" w:ascii="Times New Roman" w:hAnsi="Times New Roman" w:cs="Times New Roman"/>
                <w:sz w:val="21"/>
                <w:szCs w:val="21"/>
              </w:rPr>
            </w:pPr>
            <w:r>
              <w:rPr>
                <w:rFonts w:hint="default" w:ascii="Times New Roman" w:hAnsi="Times New Roman" w:cs="Times New Roman"/>
                <w:sz w:val="21"/>
                <w:szCs w:val="21"/>
              </w:rPr>
              <w:t>GB 38508—2020</w:t>
            </w:r>
          </w:p>
        </w:tc>
        <w:tc>
          <w:tcPr>
            <w:tcW w:w="1980" w:type="dxa"/>
            <w:vAlign w:val="center"/>
          </w:tcPr>
          <w:p w14:paraId="1F1D68DC">
            <w:pPr>
              <w:jc w:val="center"/>
              <w:rPr>
                <w:rFonts w:hint="default" w:ascii="Times New Roman" w:hAnsi="Times New Roman" w:cs="Times New Roman"/>
                <w:sz w:val="21"/>
                <w:szCs w:val="21"/>
              </w:rPr>
            </w:pPr>
            <w:r>
              <w:rPr>
                <w:rFonts w:hint="default" w:ascii="Times New Roman" w:hAnsi="Times New Roman" w:cs="Times New Roman"/>
                <w:sz w:val="21"/>
                <w:szCs w:val="21"/>
              </w:rPr>
              <w:t>GB/T 6283—2008</w:t>
            </w:r>
          </w:p>
          <w:p w14:paraId="464C75F2">
            <w:pPr>
              <w:jc w:val="center"/>
              <w:rPr>
                <w:rFonts w:hint="default" w:ascii="Times New Roman" w:hAnsi="Times New Roman" w:cs="Times New Roman"/>
                <w:sz w:val="21"/>
                <w:szCs w:val="21"/>
              </w:rPr>
            </w:pPr>
            <w:r>
              <w:rPr>
                <w:rFonts w:hint="default" w:ascii="Times New Roman" w:hAnsi="Times New Roman" w:cs="Times New Roman"/>
                <w:sz w:val="21"/>
                <w:szCs w:val="21"/>
              </w:rPr>
              <w:t>GB/T 4472—2011</w:t>
            </w:r>
          </w:p>
          <w:p w14:paraId="7E559D53">
            <w:pPr>
              <w:jc w:val="center"/>
              <w:rPr>
                <w:rFonts w:hint="default" w:ascii="Times New Roman" w:hAnsi="Times New Roman" w:cs="Times New Roman"/>
                <w:sz w:val="21"/>
                <w:szCs w:val="21"/>
              </w:rPr>
            </w:pPr>
            <w:r>
              <w:rPr>
                <w:rFonts w:hint="default" w:ascii="Times New Roman" w:hAnsi="Times New Roman" w:cs="Times New Roman"/>
                <w:sz w:val="21"/>
                <w:szCs w:val="21"/>
              </w:rPr>
              <w:t>GB/T 13173—2008</w:t>
            </w:r>
          </w:p>
          <w:p w14:paraId="3581863E">
            <w:pPr>
              <w:jc w:val="center"/>
              <w:rPr>
                <w:rFonts w:hint="default" w:ascii="Times New Roman" w:hAnsi="Times New Roman" w:cs="Times New Roman"/>
                <w:sz w:val="21"/>
                <w:szCs w:val="21"/>
              </w:rPr>
            </w:pPr>
            <w:r>
              <w:rPr>
                <w:rFonts w:hint="default" w:ascii="Times New Roman" w:hAnsi="Times New Roman" w:cs="Times New Roman"/>
                <w:sz w:val="21"/>
                <w:szCs w:val="21"/>
              </w:rPr>
              <w:t>GB 38508—2020</w:t>
            </w:r>
          </w:p>
        </w:tc>
        <w:tc>
          <w:tcPr>
            <w:tcW w:w="2029" w:type="dxa"/>
          </w:tcPr>
          <w:p w14:paraId="4507D390">
            <w:pPr>
              <w:jc w:val="center"/>
              <w:rPr>
                <w:rFonts w:cs="宋体"/>
                <w:sz w:val="21"/>
                <w:szCs w:val="21"/>
              </w:rPr>
            </w:pPr>
          </w:p>
        </w:tc>
      </w:tr>
      <w:tr w14:paraId="31F9F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717" w:type="dxa"/>
            <w:vAlign w:val="center"/>
          </w:tcPr>
          <w:p w14:paraId="7810FF24">
            <w:pPr>
              <w:jc w:val="center"/>
              <w:rPr>
                <w:rFonts w:cs="宋体"/>
                <w:sz w:val="21"/>
                <w:szCs w:val="21"/>
              </w:rPr>
            </w:pPr>
            <w:r>
              <w:rPr>
                <w:rFonts w:cs="宋体"/>
                <w:sz w:val="21"/>
                <w:szCs w:val="21"/>
              </w:rPr>
              <w:t>2</w:t>
            </w:r>
          </w:p>
        </w:tc>
        <w:tc>
          <w:tcPr>
            <w:tcW w:w="2479" w:type="dxa"/>
            <w:gridSpan w:val="2"/>
            <w:vAlign w:val="center"/>
          </w:tcPr>
          <w:p w14:paraId="3F1902A9">
            <w:pPr>
              <w:jc w:val="center"/>
              <w:rPr>
                <w:rFonts w:cs="宋体"/>
                <w:sz w:val="21"/>
                <w:szCs w:val="21"/>
              </w:rPr>
            </w:pPr>
            <w:r>
              <w:rPr>
                <w:rFonts w:cs="宋体"/>
                <w:sz w:val="21"/>
                <w:szCs w:val="21"/>
              </w:rPr>
              <w:t>二氯甲烷、三氯甲烷、三氯乙烯、四氯乙烯总和</w:t>
            </w:r>
          </w:p>
        </w:tc>
        <w:tc>
          <w:tcPr>
            <w:tcW w:w="1856" w:type="dxa"/>
            <w:vAlign w:val="center"/>
          </w:tcPr>
          <w:p w14:paraId="3D87ED87">
            <w:pPr>
              <w:jc w:val="center"/>
              <w:rPr>
                <w:rFonts w:hint="default" w:ascii="Times New Roman" w:hAnsi="Times New Roman" w:cs="Times New Roman"/>
                <w:sz w:val="21"/>
                <w:szCs w:val="21"/>
              </w:rPr>
            </w:pPr>
            <w:r>
              <w:rPr>
                <w:rFonts w:hint="default" w:ascii="Times New Roman" w:hAnsi="Times New Roman" w:cs="Times New Roman"/>
                <w:sz w:val="21"/>
                <w:szCs w:val="21"/>
              </w:rPr>
              <w:t>GB 38508—2020</w:t>
            </w:r>
          </w:p>
        </w:tc>
        <w:tc>
          <w:tcPr>
            <w:tcW w:w="1980" w:type="dxa"/>
            <w:vAlign w:val="center"/>
          </w:tcPr>
          <w:p w14:paraId="22B02F9C">
            <w:pPr>
              <w:jc w:val="center"/>
              <w:rPr>
                <w:rFonts w:hint="default" w:ascii="Times New Roman" w:hAnsi="Times New Roman" w:cs="Times New Roman"/>
                <w:sz w:val="21"/>
                <w:szCs w:val="21"/>
              </w:rPr>
            </w:pPr>
            <w:r>
              <w:rPr>
                <w:rFonts w:hint="default" w:ascii="Times New Roman" w:hAnsi="Times New Roman" w:cs="Times New Roman"/>
                <w:sz w:val="21"/>
                <w:szCs w:val="21"/>
              </w:rPr>
              <w:t>GB/T 23992—2009</w:t>
            </w:r>
          </w:p>
        </w:tc>
        <w:tc>
          <w:tcPr>
            <w:tcW w:w="2029" w:type="dxa"/>
          </w:tcPr>
          <w:p w14:paraId="5C1F25CC">
            <w:pPr>
              <w:jc w:val="center"/>
              <w:rPr>
                <w:rFonts w:cs="宋体"/>
                <w:sz w:val="21"/>
                <w:szCs w:val="21"/>
              </w:rPr>
            </w:pPr>
          </w:p>
        </w:tc>
      </w:tr>
      <w:tr w14:paraId="6778F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717" w:type="dxa"/>
            <w:vAlign w:val="center"/>
          </w:tcPr>
          <w:p w14:paraId="5C97E5AD">
            <w:pPr>
              <w:jc w:val="center"/>
              <w:rPr>
                <w:rFonts w:cs="宋体"/>
                <w:sz w:val="21"/>
                <w:szCs w:val="21"/>
              </w:rPr>
            </w:pPr>
            <w:r>
              <w:rPr>
                <w:rFonts w:cs="宋体"/>
                <w:sz w:val="21"/>
                <w:szCs w:val="21"/>
              </w:rPr>
              <w:t>3</w:t>
            </w:r>
          </w:p>
        </w:tc>
        <w:tc>
          <w:tcPr>
            <w:tcW w:w="2479" w:type="dxa"/>
            <w:gridSpan w:val="2"/>
            <w:vAlign w:val="center"/>
          </w:tcPr>
          <w:p w14:paraId="4A530BB1">
            <w:pPr>
              <w:jc w:val="center"/>
              <w:rPr>
                <w:rFonts w:cs="宋体"/>
                <w:sz w:val="21"/>
                <w:szCs w:val="21"/>
              </w:rPr>
            </w:pPr>
            <w:r>
              <w:rPr>
                <w:rFonts w:cs="宋体"/>
                <w:sz w:val="21"/>
                <w:szCs w:val="21"/>
              </w:rPr>
              <w:t>甲醛</w:t>
            </w:r>
          </w:p>
        </w:tc>
        <w:tc>
          <w:tcPr>
            <w:tcW w:w="1856" w:type="dxa"/>
            <w:vAlign w:val="center"/>
          </w:tcPr>
          <w:p w14:paraId="6EF46A14">
            <w:pPr>
              <w:jc w:val="center"/>
              <w:rPr>
                <w:rFonts w:hint="default" w:ascii="Times New Roman" w:hAnsi="Times New Roman" w:cs="Times New Roman"/>
                <w:sz w:val="21"/>
                <w:szCs w:val="21"/>
              </w:rPr>
            </w:pPr>
            <w:r>
              <w:rPr>
                <w:rFonts w:hint="default" w:ascii="Times New Roman" w:hAnsi="Times New Roman" w:cs="Times New Roman"/>
                <w:sz w:val="21"/>
                <w:szCs w:val="21"/>
              </w:rPr>
              <w:t>GB 38508—2020</w:t>
            </w:r>
          </w:p>
        </w:tc>
        <w:tc>
          <w:tcPr>
            <w:tcW w:w="1980" w:type="dxa"/>
            <w:vAlign w:val="center"/>
          </w:tcPr>
          <w:p w14:paraId="319666DF">
            <w:pPr>
              <w:jc w:val="center"/>
              <w:rPr>
                <w:rFonts w:hint="default" w:ascii="Times New Roman" w:hAnsi="Times New Roman" w:cs="Times New Roman"/>
                <w:sz w:val="21"/>
                <w:szCs w:val="21"/>
              </w:rPr>
            </w:pPr>
            <w:r>
              <w:rPr>
                <w:rFonts w:hint="default" w:ascii="Times New Roman" w:hAnsi="Times New Roman" w:cs="Times New Roman"/>
                <w:sz w:val="21"/>
                <w:szCs w:val="21"/>
              </w:rPr>
              <w:t>GB/T 23993—2009</w:t>
            </w:r>
          </w:p>
        </w:tc>
        <w:tc>
          <w:tcPr>
            <w:tcW w:w="2029" w:type="dxa"/>
          </w:tcPr>
          <w:p w14:paraId="71F5382C">
            <w:pPr>
              <w:jc w:val="center"/>
              <w:rPr>
                <w:rFonts w:cs="宋体"/>
                <w:sz w:val="21"/>
                <w:szCs w:val="21"/>
              </w:rPr>
            </w:pPr>
            <w:r>
              <w:rPr>
                <w:rFonts w:cs="宋体"/>
                <w:sz w:val="21"/>
                <w:szCs w:val="21"/>
              </w:rPr>
              <w:t>适用于水基和半水基清洗剂</w:t>
            </w:r>
          </w:p>
        </w:tc>
      </w:tr>
      <w:tr w14:paraId="6DA1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717" w:type="dxa"/>
            <w:vAlign w:val="center"/>
          </w:tcPr>
          <w:p w14:paraId="26584B1D">
            <w:pPr>
              <w:jc w:val="center"/>
              <w:rPr>
                <w:rFonts w:cs="宋体"/>
                <w:sz w:val="21"/>
                <w:szCs w:val="21"/>
              </w:rPr>
            </w:pPr>
            <w:r>
              <w:rPr>
                <w:rFonts w:cs="宋体"/>
                <w:sz w:val="21"/>
                <w:szCs w:val="21"/>
              </w:rPr>
              <w:t>4</w:t>
            </w:r>
          </w:p>
        </w:tc>
        <w:tc>
          <w:tcPr>
            <w:tcW w:w="2479" w:type="dxa"/>
            <w:gridSpan w:val="2"/>
            <w:vAlign w:val="center"/>
          </w:tcPr>
          <w:p w14:paraId="2446616B">
            <w:pPr>
              <w:jc w:val="center"/>
              <w:rPr>
                <w:rFonts w:cs="宋体"/>
                <w:sz w:val="21"/>
                <w:szCs w:val="21"/>
              </w:rPr>
            </w:pPr>
            <w:r>
              <w:rPr>
                <w:rFonts w:cs="宋体"/>
                <w:sz w:val="21"/>
                <w:szCs w:val="21"/>
              </w:rPr>
              <w:t>苯、甲苯、乙苯和二甲苯总和</w:t>
            </w:r>
          </w:p>
        </w:tc>
        <w:tc>
          <w:tcPr>
            <w:tcW w:w="1856" w:type="dxa"/>
            <w:vAlign w:val="center"/>
          </w:tcPr>
          <w:p w14:paraId="3B13FD18">
            <w:pPr>
              <w:jc w:val="center"/>
              <w:rPr>
                <w:rFonts w:hint="default" w:ascii="Times New Roman" w:hAnsi="Times New Roman" w:cs="Times New Roman"/>
                <w:sz w:val="21"/>
                <w:szCs w:val="21"/>
              </w:rPr>
            </w:pPr>
            <w:r>
              <w:rPr>
                <w:rFonts w:hint="default" w:ascii="Times New Roman" w:hAnsi="Times New Roman" w:cs="Times New Roman"/>
                <w:sz w:val="21"/>
                <w:szCs w:val="21"/>
              </w:rPr>
              <w:t>GB 38508—2020</w:t>
            </w:r>
          </w:p>
        </w:tc>
        <w:tc>
          <w:tcPr>
            <w:tcW w:w="1980" w:type="dxa"/>
            <w:vAlign w:val="center"/>
          </w:tcPr>
          <w:p w14:paraId="08E1568B">
            <w:pPr>
              <w:jc w:val="center"/>
              <w:rPr>
                <w:rFonts w:hint="default" w:ascii="Times New Roman" w:hAnsi="Times New Roman" w:cs="Times New Roman"/>
                <w:sz w:val="21"/>
                <w:szCs w:val="21"/>
              </w:rPr>
            </w:pPr>
            <w:r>
              <w:rPr>
                <w:rFonts w:hint="default" w:ascii="Times New Roman" w:hAnsi="Times New Roman" w:cs="Times New Roman"/>
                <w:sz w:val="21"/>
                <w:szCs w:val="21"/>
              </w:rPr>
              <w:t>GB/T 23990—2009</w:t>
            </w:r>
          </w:p>
        </w:tc>
        <w:tc>
          <w:tcPr>
            <w:tcW w:w="2029" w:type="dxa"/>
          </w:tcPr>
          <w:p w14:paraId="47C1B749">
            <w:pPr>
              <w:jc w:val="center"/>
              <w:rPr>
                <w:rFonts w:cs="宋体"/>
                <w:sz w:val="21"/>
                <w:szCs w:val="21"/>
              </w:rPr>
            </w:pPr>
          </w:p>
        </w:tc>
      </w:tr>
      <w:tr w14:paraId="29C9B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717" w:type="dxa"/>
            <w:vMerge w:val="restart"/>
            <w:vAlign w:val="center"/>
          </w:tcPr>
          <w:p w14:paraId="5FFFBFCE">
            <w:pPr>
              <w:jc w:val="center"/>
              <w:rPr>
                <w:rFonts w:cs="宋体"/>
                <w:sz w:val="21"/>
                <w:szCs w:val="21"/>
              </w:rPr>
            </w:pPr>
            <w:r>
              <w:rPr>
                <w:rFonts w:cs="宋体"/>
                <w:sz w:val="21"/>
                <w:szCs w:val="21"/>
              </w:rPr>
              <w:t>5</w:t>
            </w:r>
          </w:p>
        </w:tc>
        <w:tc>
          <w:tcPr>
            <w:tcW w:w="984" w:type="dxa"/>
            <w:vMerge w:val="restart"/>
            <w:vAlign w:val="center"/>
          </w:tcPr>
          <w:p w14:paraId="716E39CB">
            <w:pPr>
              <w:jc w:val="center"/>
              <w:rPr>
                <w:rFonts w:cs="宋体"/>
                <w:sz w:val="21"/>
                <w:szCs w:val="21"/>
              </w:rPr>
            </w:pPr>
            <w:r>
              <w:rPr>
                <w:rFonts w:cs="宋体"/>
                <w:sz w:val="21"/>
                <w:szCs w:val="21"/>
              </w:rPr>
              <w:t>包装标志</w:t>
            </w:r>
          </w:p>
        </w:tc>
        <w:tc>
          <w:tcPr>
            <w:tcW w:w="1495" w:type="dxa"/>
            <w:vAlign w:val="center"/>
          </w:tcPr>
          <w:p w14:paraId="2CAC1988">
            <w:pPr>
              <w:jc w:val="center"/>
              <w:rPr>
                <w:rFonts w:cs="宋体"/>
                <w:sz w:val="21"/>
                <w:szCs w:val="21"/>
              </w:rPr>
            </w:pPr>
            <w:r>
              <w:rPr>
                <w:rFonts w:cs="宋体"/>
                <w:sz w:val="21"/>
                <w:szCs w:val="21"/>
              </w:rPr>
              <w:t>产品类别</w:t>
            </w:r>
          </w:p>
        </w:tc>
        <w:tc>
          <w:tcPr>
            <w:tcW w:w="1856" w:type="dxa"/>
            <w:vAlign w:val="center"/>
          </w:tcPr>
          <w:p w14:paraId="615C48C0">
            <w:pPr>
              <w:jc w:val="center"/>
              <w:rPr>
                <w:rFonts w:hint="default" w:ascii="Times New Roman" w:hAnsi="Times New Roman" w:cs="Times New Roman"/>
                <w:sz w:val="21"/>
                <w:szCs w:val="21"/>
              </w:rPr>
            </w:pPr>
            <w:r>
              <w:rPr>
                <w:rFonts w:hint="default" w:ascii="Times New Roman" w:hAnsi="Times New Roman" w:cs="Times New Roman"/>
                <w:sz w:val="21"/>
                <w:szCs w:val="21"/>
              </w:rPr>
              <w:t>GB 38508—2020</w:t>
            </w:r>
          </w:p>
        </w:tc>
        <w:tc>
          <w:tcPr>
            <w:tcW w:w="1980" w:type="dxa"/>
            <w:vAlign w:val="center"/>
          </w:tcPr>
          <w:p w14:paraId="2C5FDF7E">
            <w:pPr>
              <w:jc w:val="center"/>
              <w:rPr>
                <w:rFonts w:hint="default" w:ascii="Times New Roman" w:hAnsi="Times New Roman" w:cs="Times New Roman"/>
                <w:sz w:val="21"/>
                <w:szCs w:val="21"/>
              </w:rPr>
            </w:pPr>
            <w:r>
              <w:rPr>
                <w:rFonts w:hint="default" w:ascii="Times New Roman" w:hAnsi="Times New Roman" w:cs="Times New Roman"/>
                <w:sz w:val="21"/>
                <w:szCs w:val="21"/>
              </w:rPr>
              <w:t>GB 38508—2020</w:t>
            </w:r>
          </w:p>
        </w:tc>
        <w:tc>
          <w:tcPr>
            <w:tcW w:w="2029" w:type="dxa"/>
          </w:tcPr>
          <w:p w14:paraId="750DB445">
            <w:pPr>
              <w:jc w:val="center"/>
              <w:rPr>
                <w:rFonts w:cs="宋体"/>
                <w:sz w:val="21"/>
                <w:szCs w:val="21"/>
              </w:rPr>
            </w:pPr>
          </w:p>
        </w:tc>
      </w:tr>
      <w:tr w14:paraId="4A053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717" w:type="dxa"/>
            <w:vMerge w:val="continue"/>
            <w:vAlign w:val="center"/>
          </w:tcPr>
          <w:p w14:paraId="39870A3C">
            <w:pPr>
              <w:jc w:val="center"/>
              <w:rPr>
                <w:rFonts w:cs="宋体"/>
                <w:sz w:val="21"/>
                <w:szCs w:val="21"/>
              </w:rPr>
            </w:pPr>
          </w:p>
        </w:tc>
        <w:tc>
          <w:tcPr>
            <w:tcW w:w="984" w:type="dxa"/>
            <w:vMerge w:val="continue"/>
            <w:vAlign w:val="center"/>
          </w:tcPr>
          <w:p w14:paraId="0CA060B0">
            <w:pPr>
              <w:jc w:val="center"/>
              <w:rPr>
                <w:rFonts w:cs="宋体"/>
                <w:sz w:val="21"/>
                <w:szCs w:val="21"/>
              </w:rPr>
            </w:pPr>
          </w:p>
        </w:tc>
        <w:tc>
          <w:tcPr>
            <w:tcW w:w="1495" w:type="dxa"/>
            <w:vAlign w:val="center"/>
          </w:tcPr>
          <w:p w14:paraId="7FA9FEF3">
            <w:pPr>
              <w:jc w:val="center"/>
              <w:rPr>
                <w:rFonts w:cs="宋体"/>
                <w:sz w:val="21"/>
                <w:szCs w:val="21"/>
              </w:rPr>
            </w:pPr>
            <w:r>
              <w:rPr>
                <w:rFonts w:cs="宋体"/>
                <w:sz w:val="21"/>
                <w:szCs w:val="21"/>
              </w:rPr>
              <w:t>明示“低VOC含量清洗剂”</w:t>
            </w:r>
          </w:p>
        </w:tc>
        <w:tc>
          <w:tcPr>
            <w:tcW w:w="1856" w:type="dxa"/>
            <w:vAlign w:val="center"/>
          </w:tcPr>
          <w:p w14:paraId="37A6A744">
            <w:pPr>
              <w:jc w:val="center"/>
              <w:rPr>
                <w:rFonts w:hint="default" w:ascii="Times New Roman" w:hAnsi="Times New Roman" w:cs="Times New Roman"/>
                <w:sz w:val="21"/>
                <w:szCs w:val="21"/>
              </w:rPr>
            </w:pPr>
            <w:r>
              <w:rPr>
                <w:rFonts w:hint="default" w:ascii="Times New Roman" w:hAnsi="Times New Roman" w:cs="Times New Roman"/>
                <w:sz w:val="21"/>
                <w:szCs w:val="21"/>
              </w:rPr>
              <w:t>GB 38508—2020</w:t>
            </w:r>
          </w:p>
        </w:tc>
        <w:tc>
          <w:tcPr>
            <w:tcW w:w="1980" w:type="dxa"/>
            <w:vAlign w:val="center"/>
          </w:tcPr>
          <w:p w14:paraId="0F6BA044">
            <w:pPr>
              <w:jc w:val="center"/>
              <w:rPr>
                <w:rFonts w:hint="default" w:ascii="Times New Roman" w:hAnsi="Times New Roman" w:cs="Times New Roman"/>
                <w:sz w:val="21"/>
                <w:szCs w:val="21"/>
              </w:rPr>
            </w:pPr>
            <w:r>
              <w:rPr>
                <w:rFonts w:hint="default" w:ascii="Times New Roman" w:hAnsi="Times New Roman" w:cs="Times New Roman"/>
                <w:sz w:val="21"/>
                <w:szCs w:val="21"/>
              </w:rPr>
              <w:t>GB 38508—2020</w:t>
            </w:r>
          </w:p>
        </w:tc>
        <w:tc>
          <w:tcPr>
            <w:tcW w:w="2029" w:type="dxa"/>
          </w:tcPr>
          <w:p w14:paraId="2EF00BE6">
            <w:pPr>
              <w:jc w:val="center"/>
              <w:rPr>
                <w:rFonts w:cs="宋体"/>
                <w:sz w:val="21"/>
                <w:szCs w:val="21"/>
              </w:rPr>
            </w:pPr>
            <w:r>
              <w:rPr>
                <w:rFonts w:cs="宋体"/>
                <w:sz w:val="21"/>
                <w:szCs w:val="21"/>
              </w:rPr>
              <w:t>适用于产品符合低挥发性清洗剂要求时</w:t>
            </w:r>
          </w:p>
        </w:tc>
      </w:tr>
      <w:tr w14:paraId="49E2A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717" w:type="dxa"/>
            <w:vMerge w:val="continue"/>
            <w:vAlign w:val="center"/>
          </w:tcPr>
          <w:p w14:paraId="460465BB">
            <w:pPr>
              <w:jc w:val="center"/>
              <w:rPr>
                <w:rFonts w:cs="宋体"/>
                <w:sz w:val="21"/>
                <w:szCs w:val="21"/>
              </w:rPr>
            </w:pPr>
          </w:p>
        </w:tc>
        <w:tc>
          <w:tcPr>
            <w:tcW w:w="984" w:type="dxa"/>
            <w:vMerge w:val="continue"/>
            <w:vAlign w:val="center"/>
          </w:tcPr>
          <w:p w14:paraId="31BF8562">
            <w:pPr>
              <w:jc w:val="center"/>
              <w:rPr>
                <w:rFonts w:cs="宋体"/>
                <w:sz w:val="21"/>
                <w:szCs w:val="21"/>
              </w:rPr>
            </w:pPr>
          </w:p>
        </w:tc>
        <w:tc>
          <w:tcPr>
            <w:tcW w:w="1495" w:type="dxa"/>
            <w:vAlign w:val="center"/>
          </w:tcPr>
          <w:p w14:paraId="1B6CE143">
            <w:pPr>
              <w:jc w:val="center"/>
              <w:rPr>
                <w:rFonts w:cs="宋体"/>
                <w:sz w:val="21"/>
                <w:szCs w:val="21"/>
              </w:rPr>
            </w:pPr>
            <w:r>
              <w:rPr>
                <w:rFonts w:cs="宋体"/>
                <w:sz w:val="21"/>
                <w:szCs w:val="21"/>
              </w:rPr>
              <w:t>使用配比</w:t>
            </w:r>
          </w:p>
        </w:tc>
        <w:tc>
          <w:tcPr>
            <w:tcW w:w="1856" w:type="dxa"/>
            <w:vAlign w:val="center"/>
          </w:tcPr>
          <w:p w14:paraId="3B0A86F4">
            <w:pPr>
              <w:jc w:val="center"/>
              <w:rPr>
                <w:rFonts w:hint="default" w:ascii="Times New Roman" w:hAnsi="Times New Roman" w:cs="Times New Roman"/>
                <w:sz w:val="21"/>
                <w:szCs w:val="21"/>
              </w:rPr>
            </w:pPr>
            <w:r>
              <w:rPr>
                <w:rFonts w:hint="default" w:ascii="Times New Roman" w:hAnsi="Times New Roman" w:cs="Times New Roman"/>
                <w:sz w:val="21"/>
                <w:szCs w:val="21"/>
              </w:rPr>
              <w:t>GB 38508—2020</w:t>
            </w:r>
          </w:p>
        </w:tc>
        <w:tc>
          <w:tcPr>
            <w:tcW w:w="1980" w:type="dxa"/>
            <w:vAlign w:val="center"/>
          </w:tcPr>
          <w:p w14:paraId="1DE820A6">
            <w:pPr>
              <w:jc w:val="center"/>
              <w:rPr>
                <w:rFonts w:hint="default" w:ascii="Times New Roman" w:hAnsi="Times New Roman" w:cs="Times New Roman"/>
                <w:sz w:val="21"/>
                <w:szCs w:val="21"/>
              </w:rPr>
            </w:pPr>
            <w:r>
              <w:rPr>
                <w:rFonts w:hint="default" w:ascii="Times New Roman" w:hAnsi="Times New Roman" w:cs="Times New Roman"/>
                <w:sz w:val="21"/>
                <w:szCs w:val="21"/>
              </w:rPr>
              <w:t>GB 38508—2020</w:t>
            </w:r>
          </w:p>
        </w:tc>
        <w:tc>
          <w:tcPr>
            <w:tcW w:w="2029" w:type="dxa"/>
          </w:tcPr>
          <w:p w14:paraId="6D394A42">
            <w:pPr>
              <w:jc w:val="center"/>
              <w:rPr>
                <w:rFonts w:cs="宋体"/>
                <w:sz w:val="21"/>
                <w:szCs w:val="21"/>
              </w:rPr>
            </w:pPr>
          </w:p>
        </w:tc>
      </w:tr>
    </w:tbl>
    <w:p w14:paraId="629E2434">
      <w:pPr>
        <w:spacing w:line="520" w:lineRule="exact"/>
        <w:ind w:firstLine="440" w:firstLineChars="200"/>
        <w:rPr>
          <w:rFonts w:hint="eastAsia" w:ascii="Times New Roman" w:hAnsi="Times New Roman" w:eastAsia="宋体" w:cs="宋体"/>
          <w:sz w:val="22"/>
          <w:szCs w:val="28"/>
        </w:rPr>
      </w:pPr>
    </w:p>
    <w:p w14:paraId="7895AF5A">
      <w:pPr>
        <w:spacing w:line="520" w:lineRule="exact"/>
        <w:ind w:firstLine="440" w:firstLineChars="200"/>
        <w:rPr>
          <w:rFonts w:ascii="Times New Roman" w:hAnsi="Times New Roman" w:eastAsia="宋体" w:cs="宋体"/>
          <w:sz w:val="22"/>
          <w:szCs w:val="28"/>
        </w:rPr>
      </w:pPr>
      <w:bookmarkStart w:id="0" w:name="_GoBack"/>
      <w:bookmarkEnd w:id="0"/>
      <w:r>
        <w:rPr>
          <w:rFonts w:hint="eastAsia" w:ascii="Times New Roman" w:hAnsi="Times New Roman" w:eastAsia="宋体" w:cs="宋体"/>
          <w:sz w:val="22"/>
          <w:szCs w:val="28"/>
        </w:rPr>
        <w:t>执行企业标准、团体标准、地方标准的产品，检验项目参照上述内容执行。</w:t>
      </w:r>
    </w:p>
    <w:p w14:paraId="217509FB">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220CA672">
      <w:pPr>
        <w:spacing w:line="240" w:lineRule="auto"/>
        <w:ind w:firstLine="440" w:firstLineChars="200"/>
        <w:rPr>
          <w:rFonts w:ascii="Times New Roman" w:hAnsi="Times New Roman" w:eastAsia="宋体" w:cs="宋体"/>
          <w:sz w:val="22"/>
          <w:szCs w:val="28"/>
        </w:rPr>
      </w:pPr>
    </w:p>
    <w:p w14:paraId="5A5A2919">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4FE77B13">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3.1 依据标准</w:t>
      </w:r>
    </w:p>
    <w:p w14:paraId="193702A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GB 38508</w:t>
      </w:r>
      <w:r>
        <w:rPr>
          <w:rFonts w:ascii="Times New Roman" w:hAnsi="Times New Roman" w:eastAsia="宋体" w:cs="宋体"/>
          <w:sz w:val="22"/>
          <w:szCs w:val="28"/>
        </w:rPr>
        <w:t>—2020</w:t>
      </w:r>
      <w:r>
        <w:rPr>
          <w:rFonts w:hint="eastAsia" w:ascii="Times New Roman" w:hAnsi="Times New Roman" w:eastAsia="宋体" w:cs="宋体"/>
          <w:sz w:val="22"/>
          <w:szCs w:val="28"/>
        </w:rPr>
        <w:t xml:space="preserve"> 清洗剂挥发性有机化合物含量限值</w:t>
      </w:r>
    </w:p>
    <w:p w14:paraId="08A553F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4991DEA0">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3.2 判定原则</w:t>
      </w:r>
    </w:p>
    <w:p w14:paraId="7C16820E">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06883C7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3383572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50B32B1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0487F1FD">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6E5B1CF9">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387360C9">
      <w:pPr>
        <w:spacing w:line="520" w:lineRule="exact"/>
        <w:ind w:firstLine="440" w:firstLineChars="200"/>
        <w:rPr>
          <w:rFonts w:ascii="Times New Roman" w:hAnsi="Times New Roman" w:eastAsia="宋体" w:cs="宋体"/>
          <w:sz w:val="22"/>
          <w:szCs w:val="28"/>
        </w:rPr>
      </w:pPr>
    </w:p>
    <w:p w14:paraId="3D54E140">
      <w:pPr>
        <w:spacing w:line="520" w:lineRule="exact"/>
        <w:rPr>
          <w:rFonts w:ascii="Times New Roman" w:hAnsi="Times New Roman" w:eastAsia="宋体" w:cs="宋体"/>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75067">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34D21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D34D21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C79"/>
    <w:rsid w:val="004C2EAD"/>
    <w:rsid w:val="00610A10"/>
    <w:rsid w:val="006F2875"/>
    <w:rsid w:val="008E1C79"/>
    <w:rsid w:val="009326DE"/>
    <w:rsid w:val="009B6A03"/>
    <w:rsid w:val="00BE5739"/>
    <w:rsid w:val="00DB33BD"/>
    <w:rsid w:val="02551A35"/>
    <w:rsid w:val="036455F8"/>
    <w:rsid w:val="06E03F13"/>
    <w:rsid w:val="070E6657"/>
    <w:rsid w:val="0CD143AE"/>
    <w:rsid w:val="0D343503"/>
    <w:rsid w:val="13144FF5"/>
    <w:rsid w:val="149E7B87"/>
    <w:rsid w:val="156C55BC"/>
    <w:rsid w:val="1E7B23CC"/>
    <w:rsid w:val="222A1341"/>
    <w:rsid w:val="29B570DA"/>
    <w:rsid w:val="2B4863B8"/>
    <w:rsid w:val="2B830B12"/>
    <w:rsid w:val="2E5977D4"/>
    <w:rsid w:val="2E8C4181"/>
    <w:rsid w:val="2ED81174"/>
    <w:rsid w:val="36245744"/>
    <w:rsid w:val="38A81BB8"/>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756</Words>
  <Characters>963</Characters>
  <Lines>7</Lines>
  <Paragraphs>2</Paragraphs>
  <TotalTime>19</TotalTime>
  <ScaleCrop>false</ScaleCrop>
  <LinksUpToDate>false</LinksUpToDate>
  <CharactersWithSpaces>987</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2026-04-26T02:35:00Z</dcterms:created>
  <dc:creator>JinweiJia</dc:creator>
  <cp:lastModifiedBy>zw</cp:lastModifiedBy>
  <dcterms:modified xsi:type="dcterms:W3CDTF">2026-05-27T08:44:25Z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4CC9DA4A67184270A88D1077FABCC5FC_13</vt:lpwstr>
  </property>
  <property fmtid="{D5CDD505-2E9C-101B-9397-08002B2CF9AE}" pid="4" name="KSOTemplateDocerSaveRecord">
    <vt:lpwstr>eyJoZGlkIjoiYjU4YTEyOWI0YTA1NzExMDUyM2E4NzRjZjM1MmQ2OWEiLCJ1c2VySWQiOiIxMTI2NTcyODI0In0=</vt:lpwstr>
  </property>
</Properties>
</file>